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BBF5D">
      <w:pPr>
        <w:rPr>
          <w:rFonts w:hint="default" w:ascii="标准粗黑" w:hAnsi="标准粗黑" w:eastAsia="标准粗黑" w:cs="标准粗黑"/>
          <w:color w:val="FF0000"/>
          <w:szCs w:val="21"/>
          <w:lang w:val="en-US" w:eastAsia="zh-CN"/>
        </w:rPr>
      </w:pPr>
      <w:r>
        <w:rPr>
          <w:rFonts w:hint="eastAsia" w:ascii="标准粗黑" w:hAnsi="标准粗黑" w:eastAsia="标准粗黑" w:cs="标准粗黑"/>
          <w:color w:val="FF0000"/>
          <w:szCs w:val="21"/>
          <w:lang w:val="en-US" w:eastAsia="zh-CN"/>
        </w:rPr>
        <w:t xml:space="preserve">附2 </w:t>
      </w:r>
      <w:bookmarkStart w:id="2" w:name="_GoBack"/>
      <w:r>
        <w:rPr>
          <w:rFonts w:hint="eastAsia" w:ascii="标准粗黑" w:hAnsi="标准粗黑" w:eastAsia="标准粗黑" w:cs="标准粗黑"/>
          <w:color w:val="FF0000"/>
          <w:szCs w:val="21"/>
          <w:lang w:val="en-US" w:eastAsia="zh-CN"/>
        </w:rPr>
        <w:t>技术参数</w:t>
      </w:r>
      <w:bookmarkEnd w:id="2"/>
    </w:p>
    <w:tbl>
      <w:tblPr>
        <w:tblStyle w:val="4"/>
        <w:tblW w:w="9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276"/>
        <w:gridCol w:w="6095"/>
        <w:gridCol w:w="709"/>
        <w:gridCol w:w="677"/>
      </w:tblGrid>
      <w:tr w14:paraId="3076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5BED9330">
            <w:pPr>
              <w:rPr>
                <w:rFonts w:hint="eastAsia" w:ascii="宋体" w:hAnsi="宋体"/>
                <w:b/>
                <w:bCs/>
                <w:szCs w:val="21"/>
              </w:rPr>
            </w:pPr>
            <w:bookmarkStart w:id="0" w:name="_Hlk225852648"/>
            <w:r>
              <w:rPr>
                <w:rFonts w:hint="eastAsia" w:ascii="宋体" w:hAnsi="宋体"/>
                <w:b/>
                <w:bCs/>
                <w:szCs w:val="21"/>
              </w:rPr>
              <w:t>序号</w:t>
            </w:r>
          </w:p>
        </w:tc>
        <w:tc>
          <w:tcPr>
            <w:tcW w:w="1276" w:type="dxa"/>
            <w:vAlign w:val="center"/>
          </w:tcPr>
          <w:p w14:paraId="4434744D">
            <w:pPr>
              <w:rPr>
                <w:rFonts w:hint="eastAsia" w:ascii="宋体" w:hAnsi="宋体"/>
                <w:b/>
                <w:bCs/>
                <w:szCs w:val="21"/>
              </w:rPr>
            </w:pPr>
            <w:r>
              <w:rPr>
                <w:rFonts w:hint="eastAsia" w:ascii="宋体" w:hAnsi="宋体"/>
                <w:b/>
                <w:bCs/>
                <w:szCs w:val="21"/>
              </w:rPr>
              <w:t>品名</w:t>
            </w:r>
          </w:p>
        </w:tc>
        <w:tc>
          <w:tcPr>
            <w:tcW w:w="6095" w:type="dxa"/>
            <w:vAlign w:val="center"/>
          </w:tcPr>
          <w:p w14:paraId="2B5E7BF9">
            <w:pPr>
              <w:rPr>
                <w:rFonts w:hint="eastAsia" w:ascii="宋体" w:hAnsi="宋体"/>
                <w:b/>
                <w:bCs/>
                <w:szCs w:val="21"/>
              </w:rPr>
            </w:pPr>
            <w:r>
              <w:rPr>
                <w:rFonts w:hint="eastAsia" w:ascii="宋体" w:hAnsi="宋体"/>
                <w:b/>
                <w:bCs/>
                <w:szCs w:val="21"/>
              </w:rPr>
              <w:t>基本参数</w:t>
            </w:r>
          </w:p>
        </w:tc>
        <w:tc>
          <w:tcPr>
            <w:tcW w:w="709" w:type="dxa"/>
            <w:vAlign w:val="center"/>
          </w:tcPr>
          <w:p w14:paraId="62C6DCAB">
            <w:pPr>
              <w:rPr>
                <w:rFonts w:hint="eastAsia" w:ascii="宋体" w:hAnsi="宋体"/>
                <w:b/>
                <w:bCs/>
                <w:szCs w:val="21"/>
              </w:rPr>
            </w:pPr>
            <w:r>
              <w:rPr>
                <w:rFonts w:hint="eastAsia" w:ascii="宋体" w:hAnsi="宋体"/>
                <w:b/>
                <w:bCs/>
                <w:szCs w:val="21"/>
              </w:rPr>
              <w:t>数量</w:t>
            </w:r>
          </w:p>
        </w:tc>
        <w:tc>
          <w:tcPr>
            <w:tcW w:w="677" w:type="dxa"/>
            <w:vAlign w:val="center"/>
          </w:tcPr>
          <w:p w14:paraId="020C6477">
            <w:pPr>
              <w:rPr>
                <w:rFonts w:hint="eastAsia" w:ascii="宋体" w:hAnsi="宋体"/>
                <w:b/>
                <w:bCs/>
                <w:szCs w:val="21"/>
              </w:rPr>
            </w:pPr>
            <w:r>
              <w:rPr>
                <w:rFonts w:hint="eastAsia" w:ascii="宋体" w:hAnsi="宋体"/>
                <w:b/>
                <w:bCs/>
                <w:szCs w:val="21"/>
              </w:rPr>
              <w:t>单位</w:t>
            </w:r>
          </w:p>
        </w:tc>
      </w:tr>
      <w:bookmarkEnd w:id="0"/>
      <w:tr w14:paraId="3FA8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auto"/>
            <w:vAlign w:val="center"/>
          </w:tcPr>
          <w:p w14:paraId="35E1C3A2">
            <w:pPr>
              <w:tabs>
                <w:tab w:val="left" w:pos="277"/>
              </w:tabs>
              <w:rPr>
                <w:rFonts w:hint="eastAsia" w:ascii="宋体" w:hAnsi="宋体" w:eastAsia="宋体"/>
                <w:szCs w:val="21"/>
                <w:lang w:eastAsia="zh-CN"/>
              </w:rPr>
            </w:pPr>
            <w:r>
              <w:rPr>
                <w:rFonts w:hint="eastAsia" w:ascii="宋体" w:hAnsi="宋体"/>
                <w:szCs w:val="21"/>
                <w:lang w:val="en-US" w:eastAsia="zh-CN"/>
              </w:rPr>
              <w:t>1</w:t>
            </w:r>
          </w:p>
        </w:tc>
        <w:tc>
          <w:tcPr>
            <w:tcW w:w="1276" w:type="dxa"/>
            <w:vAlign w:val="center"/>
          </w:tcPr>
          <w:p w14:paraId="311AEFD3">
            <w:pPr>
              <w:rPr>
                <w:rFonts w:hint="eastAsia" w:ascii="宋体" w:hAnsi="宋体"/>
                <w:szCs w:val="21"/>
              </w:rPr>
            </w:pPr>
            <w:r>
              <w:rPr>
                <w:rFonts w:hint="eastAsia" w:ascii="宋体" w:hAnsi="宋体"/>
                <w:szCs w:val="21"/>
              </w:rPr>
              <w:t>机柜</w:t>
            </w:r>
          </w:p>
        </w:tc>
        <w:tc>
          <w:tcPr>
            <w:tcW w:w="6095" w:type="dxa"/>
            <w:vAlign w:val="center"/>
          </w:tcPr>
          <w:p w14:paraId="716F408D">
            <w:pPr>
              <w:rPr>
                <w:rFonts w:hint="eastAsia" w:ascii="宋体" w:hAnsi="宋体"/>
                <w:szCs w:val="21"/>
              </w:rPr>
            </w:pPr>
            <w:r>
              <w:rPr>
                <w:rFonts w:hint="eastAsia" w:ascii="宋体" w:hAnsi="宋体" w:cs="宋体"/>
                <w:kern w:val="0"/>
                <w:szCs w:val="21"/>
                <w:lang w:bidi="ar"/>
              </w:rPr>
              <w:t>42U标准机柜,优质冷轧钢板；存放服务器、交换机。</w:t>
            </w:r>
          </w:p>
        </w:tc>
        <w:tc>
          <w:tcPr>
            <w:tcW w:w="709" w:type="dxa"/>
            <w:vAlign w:val="center"/>
          </w:tcPr>
          <w:p w14:paraId="540C4553">
            <w:pPr>
              <w:rPr>
                <w:rFonts w:hint="eastAsia" w:ascii="宋体" w:hAnsi="宋体"/>
                <w:szCs w:val="21"/>
              </w:rPr>
            </w:pPr>
            <w:r>
              <w:rPr>
                <w:rFonts w:hint="eastAsia" w:ascii="宋体" w:hAnsi="宋体"/>
                <w:szCs w:val="21"/>
              </w:rPr>
              <w:t>2</w:t>
            </w:r>
          </w:p>
        </w:tc>
        <w:tc>
          <w:tcPr>
            <w:tcW w:w="677" w:type="dxa"/>
            <w:vAlign w:val="center"/>
          </w:tcPr>
          <w:p w14:paraId="75CC74C4">
            <w:pPr>
              <w:rPr>
                <w:rFonts w:hint="eastAsia" w:ascii="宋体" w:hAnsi="宋体"/>
                <w:szCs w:val="21"/>
              </w:rPr>
            </w:pPr>
            <w:r>
              <w:rPr>
                <w:rFonts w:hint="eastAsia" w:ascii="宋体" w:hAnsi="宋体"/>
                <w:szCs w:val="21"/>
              </w:rPr>
              <w:t>台</w:t>
            </w:r>
          </w:p>
        </w:tc>
      </w:tr>
      <w:tr w14:paraId="2EA4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auto"/>
            <w:vAlign w:val="center"/>
          </w:tcPr>
          <w:p w14:paraId="3A95CED8">
            <w:pPr>
              <w:rPr>
                <w:rFonts w:hint="eastAsia" w:ascii="宋体" w:hAnsi="宋体" w:eastAsia="宋体"/>
                <w:szCs w:val="21"/>
                <w:lang w:eastAsia="zh-CN"/>
              </w:rPr>
            </w:pPr>
            <w:r>
              <w:rPr>
                <w:rFonts w:hint="eastAsia" w:ascii="宋体" w:hAnsi="宋体"/>
                <w:szCs w:val="21"/>
                <w:lang w:val="en-US" w:eastAsia="zh-CN"/>
              </w:rPr>
              <w:t>2</w:t>
            </w:r>
          </w:p>
        </w:tc>
        <w:tc>
          <w:tcPr>
            <w:tcW w:w="1276" w:type="dxa"/>
            <w:vAlign w:val="center"/>
          </w:tcPr>
          <w:p w14:paraId="202CF80E">
            <w:pPr>
              <w:rPr>
                <w:rFonts w:hint="eastAsia" w:ascii="宋体" w:hAnsi="宋体"/>
                <w:szCs w:val="21"/>
              </w:rPr>
            </w:pPr>
            <w:r>
              <w:rPr>
                <w:rFonts w:hint="eastAsia" w:ascii="宋体" w:hAnsi="宋体"/>
                <w:szCs w:val="21"/>
              </w:rPr>
              <w:t>监控</w:t>
            </w:r>
          </w:p>
        </w:tc>
        <w:tc>
          <w:tcPr>
            <w:tcW w:w="6095" w:type="dxa"/>
            <w:vAlign w:val="center"/>
          </w:tcPr>
          <w:p w14:paraId="783504C7">
            <w:pPr>
              <w:rPr>
                <w:rFonts w:hint="eastAsia" w:ascii="宋体" w:hAnsi="宋体"/>
                <w:szCs w:val="21"/>
              </w:rPr>
            </w:pPr>
            <w:r>
              <w:rPr>
                <w:rFonts w:hint="eastAsia" w:ascii="宋体" w:hAnsi="宋体"/>
                <w:szCs w:val="21"/>
              </w:rPr>
              <w:t>摄像头前后4路，配置不低于300万像素POE供电拾音高清摄像机；存储硬盘≥4T盘，可存储、查阅、转存。</w:t>
            </w:r>
          </w:p>
        </w:tc>
        <w:tc>
          <w:tcPr>
            <w:tcW w:w="709" w:type="dxa"/>
            <w:vAlign w:val="center"/>
          </w:tcPr>
          <w:p w14:paraId="25054260">
            <w:pPr>
              <w:rPr>
                <w:rFonts w:hint="eastAsia" w:ascii="宋体" w:hAnsi="宋体"/>
                <w:szCs w:val="21"/>
              </w:rPr>
            </w:pPr>
            <w:r>
              <w:rPr>
                <w:rFonts w:hint="eastAsia" w:ascii="宋体" w:hAnsi="宋体"/>
                <w:szCs w:val="21"/>
              </w:rPr>
              <w:t>4*2=8个</w:t>
            </w:r>
          </w:p>
        </w:tc>
        <w:tc>
          <w:tcPr>
            <w:tcW w:w="677" w:type="dxa"/>
            <w:vAlign w:val="center"/>
          </w:tcPr>
          <w:p w14:paraId="55D02EEC">
            <w:pPr>
              <w:rPr>
                <w:rFonts w:hint="eastAsia" w:ascii="宋体" w:hAnsi="宋体"/>
                <w:szCs w:val="21"/>
              </w:rPr>
            </w:pPr>
            <w:r>
              <w:rPr>
                <w:rFonts w:hint="eastAsia" w:ascii="宋体" w:hAnsi="宋体"/>
                <w:szCs w:val="21"/>
              </w:rPr>
              <w:t>摄像头</w:t>
            </w:r>
          </w:p>
        </w:tc>
      </w:tr>
      <w:tr w14:paraId="7D4C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auto"/>
            <w:vAlign w:val="center"/>
          </w:tcPr>
          <w:p w14:paraId="07A298EF">
            <w:pPr>
              <w:rPr>
                <w:rFonts w:hint="eastAsia" w:ascii="宋体" w:hAnsi="宋体" w:eastAsia="宋体"/>
                <w:szCs w:val="21"/>
                <w:lang w:eastAsia="zh-CN"/>
              </w:rPr>
            </w:pPr>
            <w:bookmarkStart w:id="1" w:name="_Hlk225852519"/>
            <w:r>
              <w:rPr>
                <w:rFonts w:hint="eastAsia" w:ascii="宋体" w:hAnsi="宋体"/>
                <w:szCs w:val="21"/>
                <w:lang w:val="en-US" w:eastAsia="zh-CN"/>
              </w:rPr>
              <w:t>3</w:t>
            </w:r>
          </w:p>
        </w:tc>
        <w:tc>
          <w:tcPr>
            <w:tcW w:w="1276" w:type="dxa"/>
            <w:vAlign w:val="center"/>
          </w:tcPr>
          <w:p w14:paraId="03D1B017">
            <w:pPr>
              <w:rPr>
                <w:rFonts w:hint="eastAsia" w:ascii="宋体" w:hAnsi="宋体"/>
                <w:szCs w:val="21"/>
              </w:rPr>
            </w:pPr>
            <w:r>
              <w:rPr>
                <w:rFonts w:hint="eastAsia" w:ascii="宋体" w:hAnsi="宋体"/>
                <w:szCs w:val="21"/>
              </w:rPr>
              <w:t>云IDV管理点位120个</w:t>
            </w:r>
          </w:p>
        </w:tc>
        <w:tc>
          <w:tcPr>
            <w:tcW w:w="6095" w:type="dxa"/>
            <w:vAlign w:val="center"/>
          </w:tcPr>
          <w:p w14:paraId="1E5D1CBA">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1.同时支持Legacy与UEFI两种方式启动系统，支持管理维护双网卡、双硬盘，支持NVME，M.2新型高速固态硬盘。</w:t>
            </w:r>
          </w:p>
          <w:p w14:paraId="7523D226">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2.支持批量管理设置终端机计算机名、IP地址、分辨率、时间同步等配置信息。支持限制使用多种外设设备。支持批量自动登入域及多域名分配管理。</w:t>
            </w:r>
          </w:p>
          <w:p w14:paraId="7A42000D">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3. ★支持超级镜像功能，可通过一个标准镜像可以支持多种不同硬件配置，可覆盖不同品牌、跨越不同代的CPU。（提供此功能界面截图证明，并加盖原厂公章）。</w:t>
            </w:r>
          </w:p>
          <w:p w14:paraId="5108E37D">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4.同时支持手拉手和广播两种镜像下载模式。支持边用边载的背景载入功能，可在正常上课的同时完成缓存载入，同一网络机器可互相分享数据，大幅减少网络传输中的重复数据，可以大幅提高传输效率。</w:t>
            </w:r>
          </w:p>
          <w:p w14:paraId="5D0C1A7C">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5.终端本地硬盘无需安装操作系统，通过PXE网络部署和引导，启动虚拟桌面方式运行操作系统及应用，简化部署维护工作。</w:t>
            </w:r>
          </w:p>
          <w:p w14:paraId="3460EC5A">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6.支持离线脱网运行:客户端可在没有网络连接的情况下可离线运行与在线状态下一致的操作系统及软件，并保证同一桌面环境在线与离线数据一致。</w:t>
            </w:r>
          </w:p>
          <w:p w14:paraId="0558025B">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7.支持复杂网络环境、跨校区跨互联网部署 。 IP可达即可部署，支持WIFI/4G网络的更新桌面。满足学校使用WIFI的使用场景，简化网络结构。</w:t>
            </w:r>
          </w:p>
          <w:p w14:paraId="1C5EFF61">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8. 客户端支持Windows7/8.1/10系列的32位和64位系统及Linux系统，支持打包windows\Linux系统镜像。客户端可自主选择不同的系统环境启动或由管理端指定启动环境且多个虚拟系统环境可快速切换。</w:t>
            </w:r>
          </w:p>
          <w:p w14:paraId="0377E710">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9.支持智能学习模式，系统可智能学习计算机的个性化配置，个性化驱动和用户的个性化设置并保存。用户进行桌面恢复时，可恢复至用户个性化快照。（</w:t>
            </w:r>
          </w:p>
          <w:p w14:paraId="29E7F47B">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10.为了适应各种网络环境减少对网络环境的调整，可灵活支持U盘、网络、dhcp中继等多种部署方式。</w:t>
            </w:r>
          </w:p>
          <w:p w14:paraId="429AD7D8">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11.支持终端的双盘管理，支持双盘固态和机械盘混合缓存载入，防止固态盘容量小而无法进行多系统镜像环境缓存。</w:t>
            </w:r>
          </w:p>
          <w:p w14:paraId="4957460C">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12.支持使用U盘/移动硬盘在脱机的情况下（完全没有网络）脱机恢复桌面。</w:t>
            </w:r>
          </w:p>
          <w:p w14:paraId="34270643">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13.★为避免网络端口被占用而引起的教学环境不可用的问题，云桌面管理平台支持对服务器使用的网络端口进行检测，并通过检测结果帮助管理员快速分析和解决问题。（提供此功能界面截图证明）</w:t>
            </w:r>
          </w:p>
          <w:p w14:paraId="58281241">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14.★专属打印机管理模块，支持打印机的个性化管理。打印机配置在终端和服务器端都保留，如果终端使用还原桌面，打印机配置不需要重新在客户机上设置（提供此功能界面截图证明，并加盖原厂公章）。</w:t>
            </w:r>
          </w:p>
          <w:p w14:paraId="14512042">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15.支持从服务器端发起对客户端进行远程开机、关机、发送通知消息，发送远程命令，在提供授权情况下，支持管理员远程桌面协助排错功能。</w:t>
            </w:r>
          </w:p>
          <w:p w14:paraId="074F32E3">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16.支持多种帐户类型设置，可设置二、三级管理员，学生、老师帐户，对多教室的管理权限进行角色分配。支持直接读取Windows域账户信息，帮助终端计算机自动加入AD域，自动维护域的信任关系。</w:t>
            </w:r>
          </w:p>
          <w:p w14:paraId="045FD6B5">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17.★支持大数据展示。可展示包括但不限于资产统计、设备详情、开关机对比、日志、系统使用情况等信息。（提供此功能界面截图证明）</w:t>
            </w:r>
          </w:p>
          <w:p w14:paraId="6BBC7F9F">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18.★为保障在大批量终端集中下发与更新镜像时能够获得更快的速度，满足学校考试环境部署或统一更换镜像的需求，当学校网络带宽有限时，可支持在管理集群内将主服务器内镜像提前下发至IO服务器，通过IO服务器分发镜像，实现数据分流，提升局域网内镜像的更新速度。(提供此功能界面截图证明）；</w:t>
            </w:r>
          </w:p>
          <w:p w14:paraId="3978D47F">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19. 终端端口可分类别底层统一控制（例如：控制所有 USB 存储输入输接口、光驱接口、软驱接口、硬盘接口、1394 接口、打印机接口、红外接口、磁带机接口、影像设备接口、移动通讯设备接口等）。（提供此功能界面截图证明，并加盖原厂公章）。</w:t>
            </w:r>
          </w:p>
          <w:p w14:paraId="6B7CEEF7">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20.平台可以根据课表进行计划任务设置，可以设置固定时间、每天、每周、每月进行定时执行各种任务类型，包括开机、关机、切换模板、还原数据盘。（提供此功能界面截图证明，并加盖原厂公章）。</w:t>
            </w:r>
          </w:p>
          <w:p w14:paraId="32E869F9">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21. ★硬件资产管理：收集平台中所有终端硬件配置信息，包括终端名称、主板型号、CPU型号、内存容量、最近运行时间、合计运行时间、硬件变更和记录信息等。（提供此功能界面截图证明，并加盖原厂公章）。</w:t>
            </w:r>
          </w:p>
          <w:p w14:paraId="19365332">
            <w:pPr>
              <w:pStyle w:val="6"/>
              <w:ind w:firstLine="0" w:firstLineChars="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22. ★硬件状态：收集平台中所有运行状态信息，至少包括设备地点、终端名称、CPU温度、主板温度、CPU风扇转速、开机时间、硬盘信息等。（提供此功能界面截图证明，并加盖原厂公章）。</w:t>
            </w:r>
          </w:p>
          <w:p w14:paraId="5422618E">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23.软件资产管理，支持收集软件列表，软件安装时间，使用时长并计算使用率。</w:t>
            </w:r>
          </w:p>
          <w:p w14:paraId="46056DDC">
            <w:pPr>
              <w:rPr>
                <w:rFonts w:hint="eastAsia" w:ascii="宋体" w:hAnsi="宋体"/>
                <w:szCs w:val="21"/>
              </w:rPr>
            </w:pPr>
            <w:r>
              <w:rPr>
                <w:rFonts w:hint="eastAsia" w:ascii="宋体" w:hAnsi="宋体" w:cs="宋体"/>
                <w:color w:val="000000" w:themeColor="text1"/>
                <w:szCs w:val="21"/>
                <w14:textFill>
                  <w14:solidFill>
                    <w14:schemeClr w14:val="tx1"/>
                  </w14:solidFill>
                </w14:textFill>
              </w:rPr>
              <w:t>教师演示、屏幕笔、视频广播、视频直播、语音广播、语音对讲、学生演示、分组教学、分组讨论、屏幕录制、支持学生端屏幕录制、回放、文件分发、作业提交、屏幕监视、频道教学、签到、班级模型、上网限制、程序限制、黑屏肃静、分组管理、自动锁屏、防杀进程、请求帮助、远程消息、远程设置等功能；</w:t>
            </w:r>
          </w:p>
        </w:tc>
        <w:tc>
          <w:tcPr>
            <w:tcW w:w="709" w:type="dxa"/>
            <w:vAlign w:val="center"/>
          </w:tcPr>
          <w:p w14:paraId="595472A1">
            <w:pPr>
              <w:rPr>
                <w:rFonts w:hint="eastAsia" w:ascii="宋体" w:hAnsi="宋体"/>
                <w:szCs w:val="21"/>
              </w:rPr>
            </w:pPr>
            <w:r>
              <w:rPr>
                <w:rFonts w:hint="eastAsia" w:ascii="宋体" w:hAnsi="宋体"/>
                <w:szCs w:val="21"/>
              </w:rPr>
              <w:t>120</w:t>
            </w:r>
          </w:p>
        </w:tc>
        <w:tc>
          <w:tcPr>
            <w:tcW w:w="677" w:type="dxa"/>
            <w:vAlign w:val="center"/>
          </w:tcPr>
          <w:p w14:paraId="17BE5EEF">
            <w:pPr>
              <w:rPr>
                <w:rFonts w:hint="eastAsia" w:ascii="宋体" w:hAnsi="宋体"/>
                <w:szCs w:val="21"/>
              </w:rPr>
            </w:pPr>
          </w:p>
        </w:tc>
      </w:tr>
      <w:bookmarkEnd w:id="1"/>
      <w:tr w14:paraId="596A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05418EB4">
            <w:pPr>
              <w:rPr>
                <w:rFonts w:hint="eastAsia" w:ascii="宋体" w:hAnsi="宋体" w:eastAsia="宋体"/>
                <w:szCs w:val="21"/>
                <w:lang w:eastAsia="zh-CN"/>
              </w:rPr>
            </w:pPr>
            <w:r>
              <w:rPr>
                <w:rFonts w:hint="eastAsia" w:ascii="宋体" w:hAnsi="宋体"/>
                <w:szCs w:val="21"/>
                <w:lang w:val="en-US" w:eastAsia="zh-CN"/>
              </w:rPr>
              <w:t>4</w:t>
            </w:r>
          </w:p>
        </w:tc>
        <w:tc>
          <w:tcPr>
            <w:tcW w:w="1276" w:type="dxa"/>
            <w:vAlign w:val="center"/>
          </w:tcPr>
          <w:p w14:paraId="3F0C42B8">
            <w:pPr>
              <w:rPr>
                <w:rFonts w:hint="eastAsia" w:ascii="宋体" w:hAnsi="宋体"/>
                <w:szCs w:val="21"/>
              </w:rPr>
            </w:pPr>
            <w:r>
              <w:rPr>
                <w:rFonts w:hint="eastAsia" w:ascii="宋体" w:hAnsi="宋体"/>
                <w:szCs w:val="21"/>
              </w:rPr>
              <w:t>综合布线</w:t>
            </w:r>
          </w:p>
        </w:tc>
        <w:tc>
          <w:tcPr>
            <w:tcW w:w="6095" w:type="dxa"/>
            <w:vAlign w:val="center"/>
          </w:tcPr>
          <w:p w14:paraId="54685094">
            <w:pPr>
              <w:widowControl/>
              <w:textAlignment w:val="top"/>
              <w:rPr>
                <w:rFonts w:hint="eastAsia" w:ascii="宋体" w:hAnsi="宋体" w:cs="宋体"/>
                <w:kern w:val="0"/>
                <w:szCs w:val="21"/>
                <w:lang w:bidi="ar"/>
              </w:rPr>
            </w:pPr>
            <w:r>
              <w:rPr>
                <w:rFonts w:ascii="宋体" w:hAnsi="宋体" w:cs="宋体"/>
                <w:kern w:val="0"/>
                <w:szCs w:val="21"/>
                <w:lang w:bidi="ar"/>
              </w:rPr>
              <w:t xml:space="preserve">1、安装的主要内容包括：设备的安装、互联和所有线路双向标识码，与设备新增的所需配套的交换机、机柜、电源线、网线、视频线、数据线、接线板、插座的布置，教学所需必须软件安装等，教学软件安装需有原厂工程师技术负责部署并提供使用培训。 </w:t>
            </w:r>
          </w:p>
          <w:p w14:paraId="40E81F66">
            <w:pPr>
              <w:widowControl/>
              <w:textAlignment w:val="top"/>
              <w:rPr>
                <w:rFonts w:hint="eastAsia" w:ascii="宋体" w:hAnsi="宋体" w:cs="宋体"/>
                <w:kern w:val="0"/>
                <w:szCs w:val="21"/>
                <w:lang w:bidi="ar"/>
              </w:rPr>
            </w:pPr>
            <w:r>
              <w:rPr>
                <w:rFonts w:ascii="宋体" w:hAnsi="宋体" w:cs="宋体"/>
                <w:kern w:val="0"/>
                <w:szCs w:val="21"/>
                <w:lang w:bidi="ar"/>
              </w:rPr>
              <w:t xml:space="preserve">2、电源线：符合国家标准，负载满足要求，三线分色分类阻燃分离布线。主干电源线采用品牌厂家生产的 4 mm2 优质多芯铜质护套线，其他电源线采用品牌厂家生产的 2.5 mm2 优质多芯铜质护套线，所有电源线必须取得检测合格证。  </w:t>
            </w:r>
          </w:p>
          <w:p w14:paraId="24095988">
            <w:pPr>
              <w:widowControl/>
              <w:textAlignment w:val="top"/>
              <w:rPr>
                <w:rFonts w:hint="eastAsia" w:ascii="宋体" w:hAnsi="宋体" w:cs="宋体"/>
                <w:kern w:val="0"/>
                <w:szCs w:val="21"/>
                <w:lang w:bidi="ar"/>
              </w:rPr>
            </w:pPr>
            <w:r>
              <w:rPr>
                <w:rFonts w:ascii="宋体" w:hAnsi="宋体" w:cs="宋体"/>
                <w:kern w:val="0"/>
                <w:szCs w:val="21"/>
                <w:lang w:bidi="ar"/>
              </w:rPr>
              <w:t xml:space="preserve">3、网线：品牌厂家生产的六类双绞线，网线上打码。 </w:t>
            </w:r>
          </w:p>
          <w:p w14:paraId="15BC8934">
            <w:pPr>
              <w:widowControl/>
              <w:textAlignment w:val="top"/>
              <w:rPr>
                <w:rFonts w:hint="eastAsia" w:ascii="宋体" w:hAnsi="宋体" w:cs="宋体"/>
                <w:kern w:val="0"/>
                <w:szCs w:val="21"/>
                <w:lang w:bidi="ar"/>
              </w:rPr>
            </w:pPr>
            <w:r>
              <w:rPr>
                <w:rFonts w:ascii="宋体" w:hAnsi="宋体" w:cs="宋体"/>
                <w:kern w:val="0"/>
                <w:szCs w:val="21"/>
                <w:lang w:bidi="ar"/>
              </w:rPr>
              <w:t xml:space="preserve">4、电源插座：符合国家标准，满足连接需求。 </w:t>
            </w:r>
          </w:p>
          <w:p w14:paraId="7CE85EB6">
            <w:pPr>
              <w:widowControl/>
              <w:textAlignment w:val="top"/>
              <w:rPr>
                <w:rFonts w:hint="eastAsia" w:ascii="宋体" w:hAnsi="宋体" w:cs="宋体"/>
                <w:kern w:val="0"/>
                <w:szCs w:val="21"/>
                <w:lang w:bidi="ar"/>
              </w:rPr>
            </w:pPr>
            <w:r>
              <w:rPr>
                <w:rFonts w:ascii="宋体" w:hAnsi="宋体" w:cs="宋体"/>
                <w:kern w:val="0"/>
                <w:szCs w:val="21"/>
                <w:lang w:bidi="ar"/>
              </w:rPr>
              <w:t xml:space="preserve">5、线槽及扣条：金属或塑料线槽，符合国家安全标准，踢脚处线槽外必须加盖一次成型的不锈钢扣板。 </w:t>
            </w:r>
          </w:p>
          <w:p w14:paraId="79866F9D">
            <w:pPr>
              <w:rPr>
                <w:rFonts w:hint="eastAsia" w:ascii="宋体" w:hAnsi="宋体"/>
                <w:szCs w:val="21"/>
              </w:rPr>
            </w:pPr>
            <w:r>
              <w:rPr>
                <w:rFonts w:ascii="宋体" w:hAnsi="宋体" w:cs="宋体"/>
                <w:kern w:val="0"/>
                <w:szCs w:val="21"/>
                <w:lang w:bidi="ar"/>
              </w:rPr>
              <w:t>6、施工规范：</w:t>
            </w:r>
            <w:r>
              <w:rPr>
                <w:rFonts w:hint="eastAsia" w:ascii="宋体" w:hAnsi="宋体" w:cs="宋体"/>
                <w:kern w:val="0"/>
                <w:szCs w:val="21"/>
                <w:lang w:bidi="ar"/>
              </w:rPr>
              <w:t>满足</w:t>
            </w:r>
            <w:r>
              <w:rPr>
                <w:rFonts w:ascii="宋体" w:hAnsi="宋体" w:cs="宋体"/>
                <w:kern w:val="0"/>
                <w:szCs w:val="21"/>
                <w:lang w:bidi="ar"/>
              </w:rPr>
              <w:t>GB/T50312-2016《综合布线系统工程验收规范》，强弱电规范（分离）施工，整个教</w:t>
            </w:r>
            <w:r>
              <w:rPr>
                <w:rFonts w:hint="eastAsia" w:ascii="宋体" w:hAnsi="宋体" w:cs="宋体"/>
                <w:kern w:val="0"/>
                <w:szCs w:val="21"/>
                <w:lang w:bidi="ar"/>
              </w:rPr>
              <w:t>室要具有高扩展性、灵活性、先进性、可管理性。在布线中，所有信息点均有一定编号规则和颜色规则，以方便维护。</w:t>
            </w:r>
          </w:p>
        </w:tc>
        <w:tc>
          <w:tcPr>
            <w:tcW w:w="709" w:type="dxa"/>
            <w:vAlign w:val="center"/>
          </w:tcPr>
          <w:p w14:paraId="3574D1D9">
            <w:pPr>
              <w:rPr>
                <w:rFonts w:hint="eastAsia" w:ascii="宋体" w:hAnsi="宋体"/>
                <w:szCs w:val="21"/>
              </w:rPr>
            </w:pPr>
            <w:r>
              <w:rPr>
                <w:rFonts w:hint="eastAsia" w:ascii="宋体" w:hAnsi="宋体"/>
                <w:szCs w:val="21"/>
              </w:rPr>
              <w:t>2</w:t>
            </w:r>
          </w:p>
        </w:tc>
        <w:tc>
          <w:tcPr>
            <w:tcW w:w="677" w:type="dxa"/>
            <w:vAlign w:val="center"/>
          </w:tcPr>
          <w:p w14:paraId="5DA33664">
            <w:pPr>
              <w:rPr>
                <w:rFonts w:hint="eastAsia" w:ascii="宋体" w:hAnsi="宋体"/>
                <w:szCs w:val="21"/>
              </w:rPr>
            </w:pPr>
          </w:p>
        </w:tc>
      </w:tr>
      <w:tr w14:paraId="03D0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72753D47">
            <w:pPr>
              <w:rPr>
                <w:rFonts w:hint="default" w:ascii="宋体" w:hAnsi="宋体"/>
                <w:szCs w:val="21"/>
                <w:lang w:val="en-US" w:eastAsia="zh-CN"/>
              </w:rPr>
            </w:pPr>
            <w:r>
              <w:rPr>
                <w:rFonts w:hint="eastAsia" w:ascii="宋体" w:hAnsi="宋体"/>
                <w:szCs w:val="21"/>
                <w:lang w:val="en-US" w:eastAsia="zh-CN"/>
              </w:rPr>
              <w:t>5</w:t>
            </w:r>
          </w:p>
        </w:tc>
        <w:tc>
          <w:tcPr>
            <w:tcW w:w="1276" w:type="dxa"/>
            <w:shd w:val="clear" w:color="auto" w:fill="auto"/>
            <w:vAlign w:val="center"/>
          </w:tcPr>
          <w:p w14:paraId="0795500A">
            <w:pPr>
              <w:rPr>
                <w:rFonts w:hint="eastAsia" w:ascii="宋体" w:hAnsi="宋体" w:eastAsia="宋体" w:cs="宋体"/>
                <w:kern w:val="2"/>
                <w:sz w:val="21"/>
                <w:szCs w:val="21"/>
                <w:lang w:val="en-US" w:eastAsia="zh-CN" w:bidi="ar-SA"/>
              </w:rPr>
            </w:pPr>
            <w:r>
              <w:rPr>
                <w:rFonts w:hint="eastAsia" w:ascii="宋体" w:hAnsi="宋体" w:cs="宋体"/>
                <w:szCs w:val="21"/>
              </w:rPr>
              <w:t>电脑桌椅</w:t>
            </w:r>
          </w:p>
        </w:tc>
        <w:tc>
          <w:tcPr>
            <w:tcW w:w="6095" w:type="dxa"/>
            <w:shd w:val="clear" w:color="auto" w:fill="auto"/>
            <w:vAlign w:val="center"/>
          </w:tcPr>
          <w:p w14:paraId="594E2E4F">
            <w:pPr>
              <w:rPr>
                <w:rFonts w:hint="eastAsia" w:ascii="宋体" w:hAnsi="宋体" w:cs="宋体"/>
                <w:szCs w:val="21"/>
              </w:rPr>
            </w:pPr>
            <w:r>
              <w:rPr>
                <w:rFonts w:hint="eastAsia" w:ascii="宋体" w:hAnsi="宋体" w:cs="宋体"/>
                <w:szCs w:val="21"/>
              </w:rPr>
              <w:t>规格：800*600*750桌面采用国家E1级标准25MM三聚氰胺板，经防潮防腐防虫处理，强度高，耐磨耐刮耐高温，不易变形，比重合理，采用与板件颜色，纹理配套25mm厚PVC封边</w:t>
            </w:r>
          </w:p>
          <w:p w14:paraId="0667C0E4">
            <w:pPr>
              <w:rPr>
                <w:rFonts w:hint="eastAsia" w:ascii="宋体" w:hAnsi="宋体" w:eastAsia="宋体" w:cs="宋体"/>
                <w:kern w:val="2"/>
                <w:sz w:val="21"/>
                <w:szCs w:val="21"/>
                <w:lang w:val="en-US" w:eastAsia="zh-CN" w:bidi="ar-SA"/>
              </w:rPr>
            </w:pPr>
            <w:r>
              <w:rPr>
                <w:rFonts w:hint="eastAsia" w:ascii="宋体" w:hAnsi="宋体" w:cs="宋体"/>
                <w:szCs w:val="21"/>
              </w:rPr>
              <w:t>2.钢架采用1.2mm厚优质冷轧钢管，二氧化碳气体保护焊，焊接牢固，不变形，稳定性好，除锈，磷化，静电喷涂，高温固化而成</w:t>
            </w:r>
            <w:r>
              <w:rPr>
                <w:rFonts w:hint="eastAsia" w:ascii="宋体" w:hAnsi="宋体" w:cs="宋体"/>
                <w:szCs w:val="21"/>
                <w:lang w:eastAsia="zh-CN"/>
              </w:rPr>
              <w:t>。</w:t>
            </w:r>
          </w:p>
        </w:tc>
        <w:tc>
          <w:tcPr>
            <w:tcW w:w="709" w:type="dxa"/>
            <w:vAlign w:val="center"/>
          </w:tcPr>
          <w:p w14:paraId="3FB6BED7">
            <w:pPr>
              <w:rPr>
                <w:rFonts w:hint="eastAsia" w:ascii="宋体" w:hAnsi="宋体" w:eastAsia="宋体"/>
                <w:szCs w:val="21"/>
                <w:lang w:val="en-US" w:eastAsia="zh-CN"/>
              </w:rPr>
            </w:pPr>
            <w:r>
              <w:rPr>
                <w:rFonts w:hint="eastAsia" w:ascii="宋体" w:hAnsi="宋体"/>
                <w:szCs w:val="21"/>
                <w:lang w:val="en-US" w:eastAsia="zh-CN"/>
              </w:rPr>
              <w:t>120机位</w:t>
            </w:r>
          </w:p>
        </w:tc>
        <w:tc>
          <w:tcPr>
            <w:tcW w:w="677" w:type="dxa"/>
            <w:vAlign w:val="center"/>
          </w:tcPr>
          <w:p w14:paraId="57D03BC3">
            <w:pPr>
              <w:rPr>
                <w:rFonts w:hint="eastAsia" w:ascii="宋体" w:hAnsi="宋体"/>
                <w:szCs w:val="21"/>
              </w:rPr>
            </w:pPr>
          </w:p>
        </w:tc>
      </w:tr>
      <w:tr w14:paraId="6FEB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44FEC903">
            <w:pPr>
              <w:rPr>
                <w:rFonts w:hint="default" w:ascii="宋体" w:hAnsi="宋体"/>
                <w:szCs w:val="21"/>
                <w:lang w:val="en-US" w:eastAsia="zh-CN"/>
              </w:rPr>
            </w:pPr>
            <w:r>
              <w:rPr>
                <w:rFonts w:hint="eastAsia" w:ascii="宋体" w:hAnsi="宋体"/>
                <w:szCs w:val="21"/>
                <w:lang w:val="en-US" w:eastAsia="zh-CN"/>
              </w:rPr>
              <w:t>6</w:t>
            </w:r>
          </w:p>
        </w:tc>
        <w:tc>
          <w:tcPr>
            <w:tcW w:w="1276" w:type="dxa"/>
            <w:shd w:val="clear" w:color="auto" w:fill="auto"/>
            <w:vAlign w:val="center"/>
          </w:tcPr>
          <w:p w14:paraId="39E4B94F">
            <w:pPr>
              <w:rPr>
                <w:rFonts w:hint="eastAsia" w:ascii="宋体" w:hAnsi="宋体" w:eastAsia="宋体" w:cs="宋体"/>
                <w:kern w:val="2"/>
                <w:sz w:val="21"/>
                <w:szCs w:val="21"/>
                <w:lang w:val="en-US" w:eastAsia="zh-CN" w:bidi="ar-SA"/>
              </w:rPr>
            </w:pPr>
            <w:r>
              <w:rPr>
                <w:rFonts w:hint="eastAsia" w:ascii="宋体" w:hAnsi="宋体" w:cs="宋体"/>
                <w:szCs w:val="21"/>
              </w:rPr>
              <w:t>教师机讲桌</w:t>
            </w:r>
          </w:p>
        </w:tc>
        <w:tc>
          <w:tcPr>
            <w:tcW w:w="6095" w:type="dxa"/>
            <w:shd w:val="clear" w:color="auto" w:fill="auto"/>
            <w:vAlign w:val="center"/>
          </w:tcPr>
          <w:p w14:paraId="19967AA3">
            <w:pP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木钢结构或钢结构，与其它机房的讲桌同款</w:t>
            </w:r>
          </w:p>
        </w:tc>
        <w:tc>
          <w:tcPr>
            <w:tcW w:w="709" w:type="dxa"/>
            <w:vAlign w:val="center"/>
          </w:tcPr>
          <w:p w14:paraId="74F7D7E0">
            <w:pPr>
              <w:rPr>
                <w:rFonts w:hint="eastAsia" w:ascii="宋体" w:hAnsi="宋体"/>
                <w:szCs w:val="21"/>
              </w:rPr>
            </w:pPr>
          </w:p>
        </w:tc>
        <w:tc>
          <w:tcPr>
            <w:tcW w:w="677" w:type="dxa"/>
            <w:vAlign w:val="center"/>
          </w:tcPr>
          <w:p w14:paraId="512D572D">
            <w:pPr>
              <w:rPr>
                <w:rFonts w:hint="eastAsia" w:ascii="宋体" w:hAnsi="宋体"/>
                <w:szCs w:val="21"/>
              </w:rPr>
            </w:pPr>
          </w:p>
        </w:tc>
      </w:tr>
      <w:tr w14:paraId="7F05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31CF5155">
            <w:pPr>
              <w:rPr>
                <w:rFonts w:hint="default" w:ascii="宋体" w:hAnsi="宋体"/>
                <w:szCs w:val="21"/>
                <w:lang w:val="en-US" w:eastAsia="zh-CN"/>
              </w:rPr>
            </w:pPr>
            <w:r>
              <w:rPr>
                <w:rFonts w:hint="eastAsia" w:ascii="宋体" w:hAnsi="宋体"/>
                <w:szCs w:val="21"/>
                <w:lang w:val="en-US" w:eastAsia="zh-CN"/>
              </w:rPr>
              <w:t>7</w:t>
            </w:r>
          </w:p>
        </w:tc>
        <w:tc>
          <w:tcPr>
            <w:tcW w:w="1276" w:type="dxa"/>
            <w:shd w:val="clear" w:color="auto" w:fill="auto"/>
            <w:vAlign w:val="center"/>
          </w:tcPr>
          <w:p w14:paraId="5BFFD37C">
            <w:pPr>
              <w:rPr>
                <w:rFonts w:hint="eastAsia" w:ascii="宋体" w:hAnsi="宋体" w:eastAsia="宋体" w:cs="宋体"/>
                <w:kern w:val="2"/>
                <w:sz w:val="21"/>
                <w:szCs w:val="21"/>
                <w:lang w:val="en-US" w:eastAsia="zh-CN" w:bidi="ar-SA"/>
              </w:rPr>
            </w:pPr>
            <w:r>
              <w:rPr>
                <w:rFonts w:hint="eastAsia" w:ascii="宋体" w:hAnsi="宋体" w:cs="宋体"/>
                <w:szCs w:val="21"/>
              </w:rPr>
              <w:t>窗帘、室内拆清</w:t>
            </w:r>
          </w:p>
        </w:tc>
        <w:tc>
          <w:tcPr>
            <w:tcW w:w="6095" w:type="dxa"/>
            <w:shd w:val="clear" w:color="auto" w:fill="auto"/>
            <w:vAlign w:val="center"/>
          </w:tcPr>
          <w:p w14:paraId="772341A4">
            <w:pPr>
              <w:rPr>
                <w:rFonts w:hint="eastAsia" w:ascii="宋体" w:hAnsi="宋体" w:cs="宋体"/>
                <w:szCs w:val="21"/>
                <w:lang w:eastAsia="zh-CN"/>
              </w:rPr>
            </w:pPr>
            <w:r>
              <w:rPr>
                <w:rFonts w:hint="default" w:ascii="Calibri" w:hAnsi="Calibri" w:cs="Calibri"/>
                <w:szCs w:val="21"/>
              </w:rPr>
              <w:t>①</w:t>
            </w:r>
            <w:r>
              <w:rPr>
                <w:rFonts w:hint="eastAsia" w:ascii="宋体" w:hAnsi="宋体" w:cs="宋体"/>
                <w:szCs w:val="21"/>
              </w:rPr>
              <w:t>隔断墙拆卸、室内清</w:t>
            </w:r>
            <w:r>
              <w:rPr>
                <w:rFonts w:hint="eastAsia" w:ascii="宋体" w:hAnsi="宋体" w:cs="宋体"/>
                <w:szCs w:val="21"/>
                <w:lang w:eastAsia="zh-CN"/>
              </w:rPr>
              <w:t>运</w:t>
            </w:r>
            <w:r>
              <w:rPr>
                <w:rFonts w:hint="eastAsia" w:ascii="宋体" w:hAnsi="宋体" w:cs="宋体"/>
                <w:szCs w:val="21"/>
              </w:rPr>
              <w:t>等</w:t>
            </w:r>
          </w:p>
          <w:p w14:paraId="7A23B09F">
            <w:pPr>
              <w:rPr>
                <w:rFonts w:hint="eastAsia" w:ascii="宋体" w:hAnsi="宋体" w:eastAsia="宋体" w:cs="宋体"/>
                <w:kern w:val="2"/>
                <w:sz w:val="21"/>
                <w:szCs w:val="21"/>
                <w:lang w:val="en-US" w:eastAsia="zh-CN" w:bidi="ar-SA"/>
              </w:rPr>
            </w:pPr>
            <w:r>
              <w:rPr>
                <w:rFonts w:hint="default" w:ascii="Calibri" w:hAnsi="Calibri" w:cs="Calibri"/>
                <w:szCs w:val="21"/>
              </w:rPr>
              <w:t>②</w:t>
            </w:r>
            <w:r>
              <w:rPr>
                <w:rFonts w:hint="eastAsia" w:ascii="宋体" w:hAnsi="宋体" w:cs="宋体"/>
                <w:szCs w:val="21"/>
                <w:lang w:eastAsia="zh-CN"/>
              </w:rPr>
              <w:t>原</w:t>
            </w:r>
            <w:r>
              <w:rPr>
                <w:rFonts w:hint="eastAsia" w:ascii="宋体" w:hAnsi="宋体" w:cs="宋体"/>
                <w:szCs w:val="21"/>
              </w:rPr>
              <w:t>窗帘修补</w:t>
            </w:r>
            <w:r>
              <w:rPr>
                <w:rFonts w:hint="eastAsia" w:ascii="宋体" w:hAnsi="宋体" w:cs="宋体"/>
                <w:szCs w:val="21"/>
                <w:lang w:eastAsia="zh-CN"/>
              </w:rPr>
              <w:t>；如有损坏，则更换同款新窗帘。</w:t>
            </w:r>
          </w:p>
        </w:tc>
        <w:tc>
          <w:tcPr>
            <w:tcW w:w="709" w:type="dxa"/>
            <w:vAlign w:val="center"/>
          </w:tcPr>
          <w:p w14:paraId="71E18C3E">
            <w:pPr>
              <w:rPr>
                <w:rFonts w:hint="eastAsia" w:ascii="宋体" w:hAnsi="宋体"/>
                <w:szCs w:val="21"/>
              </w:rPr>
            </w:pPr>
          </w:p>
        </w:tc>
        <w:tc>
          <w:tcPr>
            <w:tcW w:w="677" w:type="dxa"/>
            <w:vAlign w:val="center"/>
          </w:tcPr>
          <w:p w14:paraId="7F904BD5">
            <w:pPr>
              <w:rPr>
                <w:rFonts w:hint="eastAsia" w:ascii="宋体" w:hAnsi="宋体"/>
                <w:szCs w:val="21"/>
              </w:rPr>
            </w:pPr>
          </w:p>
        </w:tc>
      </w:tr>
      <w:tr w14:paraId="35B3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50059464">
            <w:pPr>
              <w:rPr>
                <w:rFonts w:hint="default" w:ascii="宋体" w:hAnsi="宋体"/>
                <w:szCs w:val="21"/>
                <w:lang w:val="en-US" w:eastAsia="zh-CN"/>
              </w:rPr>
            </w:pPr>
            <w:r>
              <w:rPr>
                <w:rFonts w:hint="eastAsia" w:ascii="宋体" w:hAnsi="宋体"/>
                <w:szCs w:val="21"/>
                <w:lang w:val="en-US" w:eastAsia="zh-CN"/>
              </w:rPr>
              <w:t>8</w:t>
            </w:r>
          </w:p>
        </w:tc>
        <w:tc>
          <w:tcPr>
            <w:tcW w:w="1276" w:type="dxa"/>
            <w:shd w:val="clear" w:color="auto" w:fill="auto"/>
            <w:vAlign w:val="center"/>
          </w:tcPr>
          <w:p w14:paraId="2ECDFCAE">
            <w:pPr>
              <w:rPr>
                <w:rFonts w:hint="eastAsia" w:ascii="宋体" w:hAnsi="宋体" w:eastAsia="宋体" w:cs="宋体"/>
                <w:kern w:val="2"/>
                <w:sz w:val="21"/>
                <w:szCs w:val="21"/>
                <w:lang w:val="en-US" w:eastAsia="zh-CN" w:bidi="ar-SA"/>
              </w:rPr>
            </w:pPr>
            <w:r>
              <w:rPr>
                <w:rFonts w:hint="eastAsia" w:ascii="宋体" w:hAnsi="宋体" w:cs="宋体"/>
                <w:szCs w:val="21"/>
                <w:lang w:eastAsia="zh-CN"/>
              </w:rPr>
              <w:t>隔断</w:t>
            </w:r>
            <w:r>
              <w:rPr>
                <w:rFonts w:hint="eastAsia" w:ascii="宋体" w:hAnsi="宋体" w:cs="宋体"/>
                <w:szCs w:val="21"/>
              </w:rPr>
              <w:t>机房</w:t>
            </w:r>
            <w:r>
              <w:rPr>
                <w:rFonts w:hint="eastAsia" w:ascii="宋体" w:hAnsi="宋体" w:cs="宋体"/>
                <w:szCs w:val="21"/>
                <w:lang w:eastAsia="zh-CN"/>
              </w:rPr>
              <w:t>（放置</w:t>
            </w:r>
            <w:r>
              <w:rPr>
                <w:rFonts w:hint="eastAsia" w:ascii="宋体" w:hAnsi="宋体" w:cs="宋体"/>
                <w:szCs w:val="21"/>
              </w:rPr>
              <w:t>服务</w:t>
            </w:r>
            <w:r>
              <w:rPr>
                <w:rFonts w:hint="eastAsia" w:ascii="宋体" w:hAnsi="宋体" w:cs="宋体"/>
                <w:szCs w:val="21"/>
                <w:lang w:eastAsia="zh-CN"/>
              </w:rPr>
              <w:t>器等）</w:t>
            </w:r>
          </w:p>
        </w:tc>
        <w:tc>
          <w:tcPr>
            <w:tcW w:w="6095" w:type="dxa"/>
            <w:shd w:val="clear" w:color="auto" w:fill="auto"/>
            <w:vAlign w:val="center"/>
          </w:tcPr>
          <w:p w14:paraId="0560632C">
            <w:pPr>
              <w:rPr>
                <w:rFonts w:hint="eastAsia" w:ascii="宋体" w:hAnsi="宋体" w:eastAsia="宋体" w:cs="宋体"/>
                <w:kern w:val="2"/>
                <w:sz w:val="21"/>
                <w:szCs w:val="21"/>
                <w:lang w:val="en-US" w:eastAsia="zh-CN" w:bidi="ar-SA"/>
              </w:rPr>
            </w:pPr>
            <w:r>
              <w:rPr>
                <w:rFonts w:hint="eastAsia" w:ascii="宋体" w:hAnsi="宋体" w:cs="宋体"/>
                <w:szCs w:val="21"/>
                <w:lang w:eastAsia="zh-CN"/>
              </w:rPr>
              <w:t>龙骨石膏板等材料</w:t>
            </w:r>
            <w:r>
              <w:rPr>
                <w:rFonts w:hint="eastAsia" w:ascii="宋体" w:hAnsi="宋体" w:cs="宋体"/>
                <w:szCs w:val="21"/>
              </w:rPr>
              <w:t>隔断房</w:t>
            </w:r>
            <w:r>
              <w:rPr>
                <w:rFonts w:hint="eastAsia" w:ascii="宋体" w:hAnsi="宋体" w:cs="宋体"/>
                <w:szCs w:val="21"/>
                <w:lang w:eastAsia="zh-CN"/>
              </w:rPr>
              <w:t>，</w:t>
            </w:r>
            <w:r>
              <w:rPr>
                <w:rFonts w:hint="eastAsia" w:ascii="宋体" w:hAnsi="宋体" w:cs="宋体"/>
                <w:szCs w:val="21"/>
              </w:rPr>
              <w:t>3</w:t>
            </w:r>
            <w:r>
              <w:rPr>
                <w:rFonts w:hint="eastAsia" w:ascii="宋体" w:hAnsi="宋体" w:cs="宋体"/>
                <w:szCs w:val="21"/>
                <w:lang w:eastAsia="zh-CN"/>
              </w:rPr>
              <w:t>米</w:t>
            </w:r>
            <w:r>
              <w:rPr>
                <w:rFonts w:hint="eastAsia" w:ascii="宋体" w:hAnsi="宋体" w:cs="宋体"/>
                <w:szCs w:val="21"/>
              </w:rPr>
              <w:t>*5</w:t>
            </w:r>
            <w:r>
              <w:rPr>
                <w:rFonts w:hint="eastAsia" w:ascii="宋体" w:hAnsi="宋体" w:cs="宋体"/>
                <w:szCs w:val="21"/>
                <w:lang w:eastAsia="zh-CN"/>
              </w:rPr>
              <w:t>米</w:t>
            </w:r>
            <w:r>
              <w:rPr>
                <w:rFonts w:hint="eastAsia" w:ascii="宋体" w:hAnsi="宋体" w:cs="宋体"/>
                <w:szCs w:val="21"/>
              </w:rPr>
              <w:t>=15平米，</w:t>
            </w:r>
            <w:r>
              <w:rPr>
                <w:rFonts w:hint="eastAsia" w:ascii="宋体" w:hAnsi="宋体" w:cs="宋体"/>
                <w:szCs w:val="21"/>
                <w:lang w:eastAsia="zh-CN"/>
              </w:rPr>
              <w:t>内外</w:t>
            </w:r>
            <w:r>
              <w:rPr>
                <w:rFonts w:hint="eastAsia" w:ascii="宋体" w:hAnsi="宋体" w:cs="宋体"/>
                <w:szCs w:val="21"/>
              </w:rPr>
              <w:t>刷白。</w:t>
            </w:r>
          </w:p>
        </w:tc>
        <w:tc>
          <w:tcPr>
            <w:tcW w:w="709" w:type="dxa"/>
            <w:vAlign w:val="center"/>
          </w:tcPr>
          <w:p w14:paraId="508A2752">
            <w:pPr>
              <w:rPr>
                <w:rFonts w:hint="eastAsia" w:ascii="宋体" w:hAnsi="宋体"/>
                <w:szCs w:val="21"/>
              </w:rPr>
            </w:pPr>
          </w:p>
        </w:tc>
        <w:tc>
          <w:tcPr>
            <w:tcW w:w="677" w:type="dxa"/>
            <w:vAlign w:val="center"/>
          </w:tcPr>
          <w:p w14:paraId="65D5C73B">
            <w:pPr>
              <w:rPr>
                <w:rFonts w:hint="eastAsia" w:ascii="宋体" w:hAnsi="宋体"/>
                <w:szCs w:val="21"/>
              </w:rPr>
            </w:pPr>
          </w:p>
        </w:tc>
      </w:tr>
    </w:tbl>
    <w:p w14:paraId="3A9CCCFC">
      <w:pPr>
        <w:rPr>
          <w:rFonts w:hint="eastAsia" w:ascii="宋体" w:hAnsi="宋体" w:cs="宋体"/>
          <w:sz w:val="24"/>
        </w:rPr>
      </w:pPr>
    </w:p>
    <w:p w14:paraId="62B6A307">
      <w:pPr>
        <w:ind w:left="632" w:hanging="632" w:hangingChars="300"/>
        <w:rPr>
          <w:rFonts w:hint="eastAsia" w:ascii="仿宋" w:hAnsi="仿宋" w:eastAsia="仿宋" w:cs="仿宋"/>
          <w:b/>
          <w:bCs/>
          <w:szCs w:val="21"/>
        </w:rPr>
      </w:pP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7B89FD4-B868-464C-8F68-895D85ACF35F}"/>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2" w:fontKey="{DA46FBAE-9036-411F-ADBC-F9D3AF54431C}"/>
  </w:font>
  <w:font w:name="方正小标宋简体">
    <w:panose1 w:val="02010601030101010101"/>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标准粗黑">
    <w:panose1 w:val="02000503000000000000"/>
    <w:charset w:val="86"/>
    <w:family w:val="auto"/>
    <w:pitch w:val="default"/>
    <w:sig w:usb0="8000002F" w:usb1="084164FA" w:usb2="00000012" w:usb3="00000000" w:csb0="00040001" w:csb1="00000000"/>
    <w:embedRegular r:id="rId3" w:fontKey="{44E373D9-0DEB-4925-B600-3682225E096E}"/>
  </w:font>
  <w:font w:name="WPSEMBED1">
    <w:panose1 w:val="02000503000000000000"/>
    <w:charset w:val="86"/>
    <w:family w:val="auto"/>
    <w:pitch w:val="default"/>
    <w:sig w:usb0="8000002F" w:usb1="084164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3F48B7"/>
    <w:multiLevelType w:val="multilevel"/>
    <w:tmpl w:val="5B3F48B7"/>
    <w:lvl w:ilvl="0" w:tentative="0">
      <w:start w:val="1"/>
      <w:numFmt w:val="decimal"/>
      <w:lvlText w:val="%1"/>
      <w:lvlJc w:val="left"/>
      <w:pPr>
        <w:tabs>
          <w:tab w:val="left" w:pos="432"/>
        </w:tabs>
        <w:ind w:left="432" w:hanging="432"/>
      </w:pPr>
      <w:rPr>
        <w:rFonts w:cs="Times New Roman"/>
      </w:rPr>
    </w:lvl>
    <w:lvl w:ilvl="1" w:tentative="0">
      <w:start w:val="1"/>
      <w:numFmt w:val="decimal"/>
      <w:lvlText w:val="%1.%2"/>
      <w:lvlJc w:val="left"/>
      <w:pPr>
        <w:tabs>
          <w:tab w:val="left" w:pos="576"/>
        </w:tabs>
        <w:ind w:left="576" w:hanging="576"/>
      </w:pPr>
      <w:rPr>
        <w:rFonts w:cs="Times New Roman"/>
      </w:rPr>
    </w:lvl>
    <w:lvl w:ilvl="2" w:tentative="0">
      <w:start w:val="1"/>
      <w:numFmt w:val="decimal"/>
      <w:lvlText w:val="%1.%2.%3"/>
      <w:lvlJc w:val="left"/>
      <w:pPr>
        <w:tabs>
          <w:tab w:val="left" w:pos="1260"/>
        </w:tabs>
        <w:ind w:left="1260" w:hanging="720"/>
      </w:pPr>
      <w:rPr>
        <w:rFonts w:cs="Times New Roman"/>
      </w:rPr>
    </w:lvl>
    <w:lvl w:ilvl="3" w:tentative="0">
      <w:start w:val="1"/>
      <w:numFmt w:val="decimal"/>
      <w:pStyle w:val="2"/>
      <w:lvlText w:val="%1.%2.%3.%4"/>
      <w:lvlJc w:val="left"/>
      <w:pPr>
        <w:tabs>
          <w:tab w:val="left" w:pos="864"/>
        </w:tabs>
        <w:ind w:left="864" w:hanging="864"/>
      </w:pPr>
      <w:rPr>
        <w:rFonts w:cs="Times New Roman"/>
      </w:rPr>
    </w:lvl>
    <w:lvl w:ilvl="4" w:tentative="0">
      <w:start w:val="1"/>
      <w:numFmt w:val="decimal"/>
      <w:lvlText w:val="%1.%2.%3.%4.%5"/>
      <w:lvlJc w:val="left"/>
      <w:pPr>
        <w:tabs>
          <w:tab w:val="left" w:pos="1008"/>
        </w:tabs>
        <w:ind w:left="1008" w:hanging="1008"/>
      </w:pPr>
      <w:rPr>
        <w:rFonts w:cs="Times New Roman"/>
      </w:rPr>
    </w:lvl>
    <w:lvl w:ilvl="5" w:tentative="0">
      <w:start w:val="1"/>
      <w:numFmt w:val="decimal"/>
      <w:lvlText w:val="%1.%2.%3.%4.%5.%6"/>
      <w:lvlJc w:val="left"/>
      <w:pPr>
        <w:tabs>
          <w:tab w:val="left" w:pos="1152"/>
        </w:tabs>
        <w:ind w:left="1152" w:hanging="1152"/>
      </w:pPr>
      <w:rPr>
        <w:rFonts w:cs="Times New Roman"/>
      </w:rPr>
    </w:lvl>
    <w:lvl w:ilvl="6" w:tentative="0">
      <w:start w:val="1"/>
      <w:numFmt w:val="decimal"/>
      <w:lvlText w:val="%1.%2.%3.%4.%5.%6.%7"/>
      <w:lvlJc w:val="left"/>
      <w:pPr>
        <w:tabs>
          <w:tab w:val="left" w:pos="1296"/>
        </w:tabs>
        <w:ind w:left="1296" w:hanging="1296"/>
      </w:pPr>
      <w:rPr>
        <w:rFonts w:cs="Times New Roman"/>
      </w:rPr>
    </w:lvl>
    <w:lvl w:ilvl="7" w:tentative="0">
      <w:start w:val="1"/>
      <w:numFmt w:val="decimal"/>
      <w:lvlText w:val="%1.%2.%3.%4.%5.%6.%7.%8"/>
      <w:lvlJc w:val="left"/>
      <w:pPr>
        <w:tabs>
          <w:tab w:val="left" w:pos="1440"/>
        </w:tabs>
        <w:ind w:left="1440" w:hanging="1440"/>
      </w:pPr>
      <w:rPr>
        <w:rFonts w:cs="Times New Roman"/>
      </w:rPr>
    </w:lvl>
    <w:lvl w:ilvl="8" w:tentative="0">
      <w:start w:val="1"/>
      <w:numFmt w:val="decimal"/>
      <w:lvlText w:val="%1.%2.%3.%4.%5.%6.%7.%8.%9"/>
      <w:lvlJc w:val="left"/>
      <w:pPr>
        <w:tabs>
          <w:tab w:val="left" w:pos="1584"/>
        </w:tabs>
        <w:ind w:left="1584" w:hanging="1584"/>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JkNmFmMTY1MWJhYjk5OGEwYTM4NmNhYTg3NzNlMGYifQ=="/>
  </w:docVars>
  <w:rsids>
    <w:rsidRoot w:val="78E55ABE"/>
    <w:rsid w:val="003559B9"/>
    <w:rsid w:val="006B2C51"/>
    <w:rsid w:val="00744674"/>
    <w:rsid w:val="008A7F7C"/>
    <w:rsid w:val="009035F2"/>
    <w:rsid w:val="009D33A6"/>
    <w:rsid w:val="00B61BC1"/>
    <w:rsid w:val="00BB324F"/>
    <w:rsid w:val="00E97A6F"/>
    <w:rsid w:val="01EC1D06"/>
    <w:rsid w:val="03E045B3"/>
    <w:rsid w:val="094D2E0F"/>
    <w:rsid w:val="095567BF"/>
    <w:rsid w:val="0C1E1253"/>
    <w:rsid w:val="0E3833DA"/>
    <w:rsid w:val="160C1FB3"/>
    <w:rsid w:val="16C25856"/>
    <w:rsid w:val="17CA481C"/>
    <w:rsid w:val="1E0303E2"/>
    <w:rsid w:val="1E6D7A28"/>
    <w:rsid w:val="1E8C751D"/>
    <w:rsid w:val="1F082A8B"/>
    <w:rsid w:val="209C673A"/>
    <w:rsid w:val="22B339E4"/>
    <w:rsid w:val="23013596"/>
    <w:rsid w:val="248E2FBE"/>
    <w:rsid w:val="24D36E20"/>
    <w:rsid w:val="288451A0"/>
    <w:rsid w:val="29381700"/>
    <w:rsid w:val="2D854CE4"/>
    <w:rsid w:val="31932636"/>
    <w:rsid w:val="31952986"/>
    <w:rsid w:val="34DD2453"/>
    <w:rsid w:val="354A07A1"/>
    <w:rsid w:val="35DE2A8C"/>
    <w:rsid w:val="362D50E1"/>
    <w:rsid w:val="370F0AC0"/>
    <w:rsid w:val="38317815"/>
    <w:rsid w:val="38D069DB"/>
    <w:rsid w:val="3CA07775"/>
    <w:rsid w:val="41986734"/>
    <w:rsid w:val="43F61428"/>
    <w:rsid w:val="4B92644D"/>
    <w:rsid w:val="53A24494"/>
    <w:rsid w:val="54DA7020"/>
    <w:rsid w:val="58E3025A"/>
    <w:rsid w:val="5D156B57"/>
    <w:rsid w:val="5D686185"/>
    <w:rsid w:val="608E2BA8"/>
    <w:rsid w:val="60FE708C"/>
    <w:rsid w:val="66AE6F7B"/>
    <w:rsid w:val="68F82AA8"/>
    <w:rsid w:val="6B666EE0"/>
    <w:rsid w:val="6C757A27"/>
    <w:rsid w:val="6EBA6227"/>
    <w:rsid w:val="6F8D67A3"/>
    <w:rsid w:val="714B7389"/>
    <w:rsid w:val="72AE3A32"/>
    <w:rsid w:val="77033172"/>
    <w:rsid w:val="78E55ABE"/>
    <w:rsid w:val="7E7A711F"/>
    <w:rsid w:val="7EA87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qFormat/>
    <w:uiPriority w:val="0"/>
    <w:pPr>
      <w:keepNext/>
      <w:keepLines/>
      <w:numPr>
        <w:ilvl w:val="3"/>
        <w:numId w:val="1"/>
      </w:numPr>
      <w:tabs>
        <w:tab w:val="clear" w:pos="864"/>
      </w:tabs>
      <w:spacing w:before="280" w:after="290" w:line="376" w:lineRule="auto"/>
      <w:ind w:left="0" w:firstLine="0"/>
      <w:outlineLvl w:val="3"/>
    </w:pPr>
    <w:rPr>
      <w:rFonts w:ascii="Cambria" w:hAnsi="Cambria"/>
      <w:b/>
      <w:bCs/>
      <w:kern w:val="0"/>
      <w:sz w:val="28"/>
      <w:szCs w:val="28"/>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正文_0"/>
    <w:qFormat/>
    <w:uiPriority w:val="3"/>
    <w:pPr>
      <w:widowControl w:val="0"/>
      <w:ind w:firstLine="560" w:firstLineChars="200"/>
      <w:jc w:val="both"/>
    </w:pPr>
    <w:rPr>
      <w:rFonts w:ascii="Calibri" w:hAnsi="Calibri" w:eastAsia="宋体" w:cs="Times New Roman"/>
      <w:kern w:val="2"/>
      <w:sz w:val="28"/>
      <w:szCs w:val="2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3087</Words>
  <Characters>3366</Characters>
  <Lines>37</Lines>
  <Paragraphs>10</Paragraphs>
  <TotalTime>1</TotalTime>
  <ScaleCrop>false</ScaleCrop>
  <LinksUpToDate>false</LinksUpToDate>
  <CharactersWithSpaces>3594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2026-06-22T10:44:00Z</dcterms:created>
  <dc:creator>Administrator</dc:creator>
  <cp:lastModifiedBy>WPS_1602467161</cp:lastModifiedBy>
  <cp:lastPrinted>2026-06-25T03:33:00Z</cp:lastPrinted>
  <dcterms:modified xsi:type="dcterms:W3CDTF">2026-07-10T03:20:58Z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DB66E19D7ECA4F6FAE044A4D1EA28D0E_13</vt:lpwstr>
  </property>
  <property fmtid="{D5CDD505-2E9C-101B-9397-08002B2CF9AE}" pid="4" name="KSOTemplateDocerSaveRecord">
    <vt:lpwstr>eyJoZGlkIjoiZGQyZmJkN2QwZTUyNmE3MDFiMDQzYjVlMzE5ZGFmNTgiLCJ1c2VySWQiOiIxMTMwMjIzODU3In0=</vt:lpwstr>
  </property>
</Properties>
</file>